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6DA" w:rsidRPr="00673496" w:rsidRDefault="004D66DA" w:rsidP="004D66DA">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673496">
        <w:rPr>
          <w:rFonts w:ascii="Times New Roman" w:eastAsia="Times New Roman" w:hAnsi="Times New Roman" w:cs="Times New Roman"/>
          <w:b/>
          <w:bCs/>
          <w:kern w:val="36"/>
          <w:sz w:val="48"/>
          <w:szCs w:val="48"/>
        </w:rPr>
        <w:t>Part II. Analysis of the Program</w:t>
      </w:r>
    </w:p>
    <w:p w:rsidR="00CA1CF1" w:rsidRDefault="0029425A" w:rsidP="00CA1CF1">
      <w:pPr>
        <w:pStyle w:val="NormalWeb"/>
        <w:spacing w:before="0" w:beforeAutospacing="0" w:after="200" w:afterAutospacing="0"/>
        <w:rPr>
          <w:b/>
          <w:bCs/>
        </w:rPr>
      </w:pPr>
      <w:r>
        <w:rPr>
          <w:b/>
          <w:bCs/>
        </w:rPr>
        <w:t>I</w:t>
      </w:r>
      <w:r w:rsidR="004D66DA">
        <w:rPr>
          <w:b/>
          <w:bCs/>
        </w:rPr>
        <w:t>. PROGRAM'S STRENGTH</w:t>
      </w:r>
    </w:p>
    <w:p w:rsidR="00CA1CF1" w:rsidRDefault="00CA1CF1" w:rsidP="00CA1CF1">
      <w:pPr>
        <w:pStyle w:val="NormalWeb"/>
        <w:spacing w:before="0" w:beforeAutospacing="0" w:after="200" w:afterAutospacing="0"/>
        <w:rPr>
          <w:b/>
          <w:bCs/>
        </w:rPr>
      </w:pPr>
      <w:r w:rsidRPr="00CA1CF1">
        <w:rPr>
          <w:b/>
          <w:bCs/>
        </w:rPr>
        <w:t xml:space="preserve">a. Response to </w:t>
      </w:r>
      <w:r w:rsidR="004D2645">
        <w:rPr>
          <w:b/>
          <w:bCs/>
        </w:rPr>
        <w:t xml:space="preserve">Program Quantitative </w:t>
      </w:r>
      <w:r w:rsidR="004D2645" w:rsidRPr="00CA1CF1">
        <w:rPr>
          <w:b/>
          <w:bCs/>
        </w:rPr>
        <w:t>Indicators</w:t>
      </w:r>
      <w:r w:rsidR="004D2645">
        <w:rPr>
          <w:b/>
          <w:bCs/>
        </w:rPr>
        <w:t xml:space="preserve"> </w:t>
      </w:r>
    </w:p>
    <w:p w:rsidR="004D2645" w:rsidRPr="00CA1CF1" w:rsidRDefault="004D2645" w:rsidP="00CA1CF1">
      <w:pPr>
        <w:pStyle w:val="NormalWeb"/>
        <w:spacing w:before="0" w:beforeAutospacing="0" w:after="200" w:afterAutospacing="0"/>
      </w:pPr>
      <w:r>
        <w:rPr>
          <w:b/>
          <w:bCs/>
        </w:rPr>
        <w:t xml:space="preserve">1. </w:t>
      </w:r>
      <w:r w:rsidRPr="00CA1CF1">
        <w:rPr>
          <w:b/>
          <w:bCs/>
        </w:rPr>
        <w:t>Demand</w:t>
      </w:r>
      <w:r>
        <w:rPr>
          <w:b/>
          <w:bCs/>
        </w:rPr>
        <w:t xml:space="preserve"> Indicators </w:t>
      </w:r>
    </w:p>
    <w:p w:rsidR="00CA1CF1" w:rsidRPr="00CA1CF1" w:rsidRDefault="004D2645" w:rsidP="00CA1CF1">
      <w:pPr>
        <w:pStyle w:val="NormalWeb"/>
        <w:spacing w:before="0" w:beforeAutospacing="0" w:after="200" w:afterAutospacing="0"/>
      </w:pPr>
      <w:r w:rsidRPr="004D2645">
        <w:rPr>
          <w:b/>
        </w:rPr>
        <w:t>a.</w:t>
      </w:r>
      <w:r>
        <w:t xml:space="preserve"> </w:t>
      </w:r>
      <w:r w:rsidR="00CA1CF1" w:rsidRPr="00CA1CF1">
        <w:t xml:space="preserve">There are job opportunities in the local dental hygiene profession (#2), and the DH degree program fulfills this request by training an adequate number of majors (#3) contributing to healthy </w:t>
      </w:r>
      <w:r w:rsidRPr="00CA1CF1">
        <w:t>ratios: #</w:t>
      </w:r>
      <w:r w:rsidR="00CA1CF1" w:rsidRPr="00CA1CF1">
        <w:t>degrees/#majors and #degrees/#county positions.</w:t>
      </w:r>
    </w:p>
    <w:p w:rsidR="00CA1CF1" w:rsidRPr="00CA1CF1" w:rsidRDefault="00CA1CF1" w:rsidP="00CA1CF1">
      <w:pPr>
        <w:pStyle w:val="NormalWeb"/>
        <w:spacing w:before="0" w:beforeAutospacing="0" w:after="200" w:afterAutospacing="0"/>
      </w:pPr>
      <w:r w:rsidRPr="00CA1CF1">
        <w:t>All graduates are currently employed.</w:t>
      </w:r>
      <w:r w:rsidR="004D2645">
        <w:t xml:space="preserve"> (Employer and Graduate surveys available for review)</w:t>
      </w:r>
    </w:p>
    <w:p w:rsidR="00CA1CF1" w:rsidRPr="00CA1CF1" w:rsidRDefault="00CA1CF1" w:rsidP="00CA1CF1">
      <w:pPr>
        <w:pStyle w:val="NormalWeb"/>
        <w:spacing w:before="0" w:beforeAutospacing="0" w:after="160" w:afterAutospacing="0"/>
      </w:pPr>
      <w:r w:rsidRPr="00CA1CF1">
        <w:t>The UHMC DH is a cohort program supported by at least one year of prerequisite courses in general education and biomedical science.  The dental hygiene curriculum is two additional years (5 semesters).  The first year of instruction provides fundamental didactic courses on anatomy, nutrition as it relates to oral health, oral radiology and basic instrumentation including a number of patient assessment procedures.</w:t>
      </w:r>
    </w:p>
    <w:p w:rsidR="00CA1CF1" w:rsidRPr="00CA1CF1" w:rsidRDefault="00CA1CF1" w:rsidP="00CA1CF1">
      <w:pPr>
        <w:pStyle w:val="NormalWeb"/>
        <w:spacing w:before="0" w:beforeAutospacing="0" w:after="160" w:afterAutospacing="0"/>
      </w:pPr>
      <w:r w:rsidRPr="00CA1CF1">
        <w:t xml:space="preserve">The final two semesters focus on treatment planning and advanced instrumentation techniques as well as community service learning experiences in area schools and nursing homes. The courses in the program are sequential so students can neither exit early nor proceed at an individual pace.   At the completion of the prerequisite courses and two years in the program, students exit with an Associate in Science in Dental Hygiene.  </w:t>
      </w:r>
    </w:p>
    <w:p w:rsidR="00CA1CF1" w:rsidRDefault="00CA1CF1" w:rsidP="00CA1CF1">
      <w:pPr>
        <w:pStyle w:val="NormalWeb"/>
        <w:spacing w:before="0" w:beforeAutospacing="0" w:after="160" w:afterAutospacing="0"/>
      </w:pPr>
      <w:r w:rsidRPr="00CA1CF1">
        <w:t>Only students who gain admission to the DH program are permitted to register for DH courses, therefore they are majors.</w:t>
      </w:r>
    </w:p>
    <w:p w:rsidR="00044B05" w:rsidRPr="00CA1CF1" w:rsidRDefault="00044B05" w:rsidP="00044B0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w:t>
      </w:r>
      <w:r w:rsidRPr="00CA1CF1">
        <w:rPr>
          <w:rFonts w:ascii="Times New Roman" w:eastAsia="Times New Roman" w:hAnsi="Times New Roman" w:cs="Times New Roman"/>
          <w:b/>
          <w:bCs/>
          <w:sz w:val="24"/>
          <w:szCs w:val="24"/>
        </w:rPr>
        <w:t>. PROGRAM'S WEAKNESSES</w:t>
      </w:r>
    </w:p>
    <w:p w:rsidR="00044B05" w:rsidRDefault="00044B05" w:rsidP="00044B05">
      <w:pPr>
        <w:spacing w:before="100" w:beforeAutospacing="1" w:after="100" w:afterAutospacing="1" w:line="240" w:lineRule="auto"/>
        <w:rPr>
          <w:rFonts w:ascii="Times New Roman" w:eastAsia="Times New Roman" w:hAnsi="Times New Roman" w:cs="Times New Roman"/>
          <w:b/>
          <w:bCs/>
          <w:sz w:val="24"/>
          <w:szCs w:val="24"/>
        </w:rPr>
      </w:pPr>
      <w:r w:rsidRPr="00CA1CF1">
        <w:rPr>
          <w:rFonts w:ascii="Times New Roman" w:eastAsia="Times New Roman" w:hAnsi="Times New Roman" w:cs="Times New Roman"/>
          <w:b/>
          <w:bCs/>
          <w:sz w:val="24"/>
          <w:szCs w:val="24"/>
        </w:rPr>
        <w:t>a. Response to Demand Indicators</w:t>
      </w:r>
    </w:p>
    <w:p w:rsidR="00044B05" w:rsidRPr="00044B05" w:rsidRDefault="00044B05" w:rsidP="00044B05">
      <w:pPr>
        <w:spacing w:before="100" w:beforeAutospacing="1" w:after="100" w:afterAutospacing="1" w:line="240" w:lineRule="auto"/>
        <w:rPr>
          <w:rFonts w:ascii="Times New Roman" w:hAnsi="Times New Roman" w:cs="Times New Roman"/>
          <w:sz w:val="24"/>
          <w:szCs w:val="24"/>
        </w:rPr>
      </w:pPr>
      <w:r w:rsidRPr="00241F36">
        <w:rPr>
          <w:rFonts w:ascii="Times New Roman" w:hAnsi="Times New Roman" w:cs="Times New Roman"/>
          <w:sz w:val="24"/>
          <w:szCs w:val="24"/>
        </w:rPr>
        <w:t>There were two Native Hawaiian's as Majors in 2016, in 2017 there are five Native Hawaiian majors.</w:t>
      </w:r>
    </w:p>
    <w:p w:rsidR="00CA1CF1" w:rsidRPr="00CA1CF1" w:rsidRDefault="0029425A" w:rsidP="00CA1CF1">
      <w:pPr>
        <w:pStyle w:val="NormalWeb"/>
        <w:spacing w:before="0" w:beforeAutospacing="0" w:after="200" w:afterAutospacing="0"/>
      </w:pPr>
      <w:r>
        <w:rPr>
          <w:b/>
          <w:bCs/>
        </w:rPr>
        <w:t>2.</w:t>
      </w:r>
      <w:r w:rsidR="00CA1CF1" w:rsidRPr="00CA1CF1">
        <w:rPr>
          <w:b/>
          <w:bCs/>
        </w:rPr>
        <w:t xml:space="preserve"> Efficiency Indicators</w:t>
      </w:r>
    </w:p>
    <w:p w:rsidR="00CA1CF1" w:rsidRDefault="004D2645" w:rsidP="00CA1CF1">
      <w:pPr>
        <w:pStyle w:val="NormalWeb"/>
        <w:spacing w:before="0" w:beforeAutospacing="0" w:after="200" w:afterAutospacing="0"/>
      </w:pPr>
      <w:r w:rsidRPr="00CA1CF1">
        <w:rPr>
          <w:b/>
          <w:bCs/>
        </w:rPr>
        <w:t xml:space="preserve">b. </w:t>
      </w:r>
      <w:r w:rsidR="00CA1CF1" w:rsidRPr="00CA1CF1">
        <w:t>Program Fill Rate is @100%.</w:t>
      </w:r>
    </w:p>
    <w:p w:rsidR="004D2645" w:rsidRDefault="004D2645" w:rsidP="00CA1CF1">
      <w:pPr>
        <w:pStyle w:val="NormalWeb"/>
        <w:spacing w:before="0" w:beforeAutospacing="0" w:after="200" w:afterAutospacing="0"/>
      </w:pPr>
      <w:r w:rsidRPr="0029425A">
        <w:rPr>
          <w:b/>
        </w:rPr>
        <w:t>c.</w:t>
      </w:r>
      <w:r w:rsidRPr="004D2645">
        <w:rPr>
          <w:b/>
        </w:rPr>
        <w:t xml:space="preserve"> </w:t>
      </w:r>
      <w:r>
        <w:rPr>
          <w:b/>
        </w:rPr>
        <w:t xml:space="preserve"> </w:t>
      </w:r>
      <w:r>
        <w:t xml:space="preserve">FTE BOR </w:t>
      </w:r>
      <w:r w:rsidR="0029425A">
        <w:t>faculty teaching at the level anticipated.</w:t>
      </w:r>
    </w:p>
    <w:p w:rsidR="0029425A" w:rsidRPr="0029425A" w:rsidRDefault="0029425A" w:rsidP="00CA1CF1">
      <w:pPr>
        <w:pStyle w:val="NormalWeb"/>
        <w:spacing w:before="0" w:beforeAutospacing="0" w:after="200" w:afterAutospacing="0"/>
      </w:pPr>
      <w:r w:rsidRPr="0029425A">
        <w:rPr>
          <w:b/>
        </w:rPr>
        <w:t xml:space="preserve">d. </w:t>
      </w:r>
      <w:r>
        <w:t>The DH program began in 2008, a cohort of 10-11 students was the maximum number of students admitted due to the Standards set by the American Dental Association Commission on Dental Accreditation. (Clinical ratio of students to faculty 5:1)</w:t>
      </w:r>
    </w:p>
    <w:p w:rsidR="0029425A" w:rsidRPr="00CA1CF1" w:rsidRDefault="0029425A" w:rsidP="0029425A">
      <w:pPr>
        <w:pStyle w:val="NormalWeb"/>
        <w:spacing w:before="0" w:beforeAutospacing="0" w:after="200" w:afterAutospacing="0"/>
      </w:pPr>
      <w:r>
        <w:rPr>
          <w:b/>
          <w:bCs/>
        </w:rPr>
        <w:t>3.  Effectiveness</w:t>
      </w:r>
      <w:r w:rsidRPr="00CA1CF1">
        <w:rPr>
          <w:b/>
          <w:bCs/>
        </w:rPr>
        <w:t xml:space="preserve"> Indicators</w:t>
      </w:r>
    </w:p>
    <w:p w:rsidR="0029425A" w:rsidRDefault="0029425A" w:rsidP="00CA1CF1">
      <w:pPr>
        <w:spacing w:before="100" w:beforeAutospacing="1" w:after="100" w:afterAutospacing="1" w:line="240" w:lineRule="auto"/>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To date, all data support student success in the dental hygiene program.</w:t>
      </w:r>
    </w:p>
    <w:p w:rsidR="00044B05" w:rsidRPr="00044B05" w:rsidRDefault="00044B05" w:rsidP="00CA1CF1">
      <w:pPr>
        <w:spacing w:before="100" w:beforeAutospacing="1" w:after="100" w:afterAutospacing="1" w:line="240" w:lineRule="auto"/>
        <w:rPr>
          <w:rFonts w:ascii="Times New Roman" w:eastAsia="Times New Roman" w:hAnsi="Times New Roman" w:cs="Times New Roman"/>
          <w:sz w:val="24"/>
          <w:szCs w:val="24"/>
        </w:rPr>
      </w:pPr>
    </w:p>
    <w:p w:rsidR="00CA1CF1" w:rsidRDefault="0029425A" w:rsidP="00CA1CF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w:t>
      </w:r>
      <w:r w:rsidR="00CA1CF1" w:rsidRPr="00CA1CF1">
        <w:rPr>
          <w:rFonts w:ascii="Times New Roman" w:eastAsia="Times New Roman" w:hAnsi="Times New Roman" w:cs="Times New Roman"/>
          <w:b/>
          <w:bCs/>
          <w:sz w:val="24"/>
          <w:szCs w:val="24"/>
        </w:rPr>
        <w:t>. RESPONSE TO PERKINS INDICATORS</w:t>
      </w:r>
    </w:p>
    <w:p w:rsidR="00044B05" w:rsidRPr="00CA1CF1" w:rsidRDefault="00044B05" w:rsidP="00CA1C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Note: Data is reported for 2015-2016</w:t>
      </w:r>
    </w:p>
    <w:p w:rsidR="00CA1CF1" w:rsidRDefault="00241F36" w:rsidP="00CA1C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Regarding line </w:t>
      </w:r>
      <w:r w:rsidR="0029425A">
        <w:rPr>
          <w:rFonts w:ascii="Times New Roman" w:eastAsia="Times New Roman" w:hAnsi="Times New Roman" w:cs="Times New Roman"/>
          <w:sz w:val="24"/>
          <w:szCs w:val="24"/>
        </w:rPr>
        <w:t xml:space="preserve">30; </w:t>
      </w:r>
      <w:r w:rsidR="0029425A" w:rsidRPr="00CA1CF1">
        <w:rPr>
          <w:rFonts w:ascii="Times New Roman" w:eastAsia="Times New Roman" w:hAnsi="Times New Roman" w:cs="Times New Roman"/>
          <w:sz w:val="24"/>
          <w:szCs w:val="24"/>
        </w:rPr>
        <w:t>2</w:t>
      </w:r>
      <w:r w:rsidR="00CA1CF1" w:rsidRPr="00CA1CF1">
        <w:rPr>
          <w:rFonts w:ascii="Times New Roman" w:eastAsia="Times New Roman" w:hAnsi="Times New Roman" w:cs="Times New Roman"/>
          <w:sz w:val="24"/>
          <w:szCs w:val="24"/>
        </w:rPr>
        <w:t xml:space="preserve">P1 Completion is inaccurate.  All dental hygiene students are required to maintain a 2.0 in didactic course work &amp; 3.0 </w:t>
      </w:r>
      <w:r w:rsidR="0029425A">
        <w:rPr>
          <w:rFonts w:ascii="Times New Roman" w:eastAsia="Times New Roman" w:hAnsi="Times New Roman" w:cs="Times New Roman"/>
          <w:sz w:val="24"/>
          <w:szCs w:val="24"/>
        </w:rPr>
        <w:t>in clinical skills GPA.  All eleven</w:t>
      </w:r>
      <w:r w:rsidR="00CA1CF1" w:rsidRPr="00CA1CF1">
        <w:rPr>
          <w:rFonts w:ascii="Times New Roman" w:eastAsia="Times New Roman" w:hAnsi="Times New Roman" w:cs="Times New Roman"/>
          <w:sz w:val="24"/>
          <w:szCs w:val="24"/>
        </w:rPr>
        <w:t xml:space="preserve"> dental hygiene students have completed the curr</w:t>
      </w:r>
      <w:r w:rsidR="0029425A">
        <w:rPr>
          <w:rFonts w:ascii="Times New Roman" w:eastAsia="Times New Roman" w:hAnsi="Times New Roman" w:cs="Times New Roman"/>
          <w:sz w:val="24"/>
          <w:szCs w:val="24"/>
        </w:rPr>
        <w:t>iculum and graduated in May 2017</w:t>
      </w:r>
      <w:r w:rsidR="00CA1CF1" w:rsidRPr="00CA1CF1">
        <w:rPr>
          <w:rFonts w:ascii="Times New Roman" w:eastAsia="Times New Roman" w:hAnsi="Times New Roman" w:cs="Times New Roman"/>
          <w:sz w:val="24"/>
          <w:szCs w:val="24"/>
        </w:rPr>
        <w:t xml:space="preserve"> earning an AS in DH which is the terminal degree.  Data collection process should be amended to reflect that the goals have been met.</w:t>
      </w:r>
    </w:p>
    <w:p w:rsidR="00053CA0" w:rsidRDefault="00053CA0" w:rsidP="00CA1C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Regarding line 33; 5P1</w:t>
      </w:r>
      <w:r w:rsidR="00044B05">
        <w:rPr>
          <w:rFonts w:ascii="Times New Roman" w:eastAsia="Times New Roman" w:hAnsi="Times New Roman" w:cs="Times New Roman"/>
          <w:sz w:val="24"/>
          <w:szCs w:val="24"/>
        </w:rPr>
        <w:t xml:space="preserve"> There were no men </w:t>
      </w:r>
      <w:r w:rsidR="003F2973">
        <w:rPr>
          <w:rFonts w:ascii="Times New Roman" w:eastAsia="Times New Roman" w:hAnsi="Times New Roman" w:cs="Times New Roman"/>
          <w:sz w:val="24"/>
          <w:szCs w:val="24"/>
        </w:rPr>
        <w:t xml:space="preserve">(non </w:t>
      </w:r>
      <w:proofErr w:type="spellStart"/>
      <w:r w:rsidR="003F2973">
        <w:rPr>
          <w:rFonts w:ascii="Times New Roman" w:eastAsia="Times New Roman" w:hAnsi="Times New Roman" w:cs="Times New Roman"/>
          <w:sz w:val="24"/>
          <w:szCs w:val="24"/>
        </w:rPr>
        <w:t>trad</w:t>
      </w:r>
      <w:proofErr w:type="spellEnd"/>
      <w:r w:rsidR="003F2973">
        <w:rPr>
          <w:rFonts w:ascii="Times New Roman" w:eastAsia="Times New Roman" w:hAnsi="Times New Roman" w:cs="Times New Roman"/>
          <w:sz w:val="24"/>
          <w:szCs w:val="24"/>
        </w:rPr>
        <w:t xml:space="preserve">) </w:t>
      </w:r>
      <w:r w:rsidR="00044B05">
        <w:rPr>
          <w:rFonts w:ascii="Times New Roman" w:eastAsia="Times New Roman" w:hAnsi="Times New Roman" w:cs="Times New Roman"/>
          <w:sz w:val="24"/>
          <w:szCs w:val="24"/>
        </w:rPr>
        <w:t>in the program reported in AY 16-17.  In f2017 the DH program admitted two men.</w:t>
      </w:r>
    </w:p>
    <w:p w:rsidR="00053CA0" w:rsidRDefault="00053CA0" w:rsidP="00053C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Regarding line </w:t>
      </w:r>
      <w:r w:rsidR="003F2973">
        <w:rPr>
          <w:rFonts w:ascii="Times New Roman" w:eastAsia="Times New Roman" w:hAnsi="Times New Roman" w:cs="Times New Roman"/>
          <w:sz w:val="24"/>
          <w:szCs w:val="24"/>
        </w:rPr>
        <w:t>34</w:t>
      </w:r>
      <w:r>
        <w:rPr>
          <w:rFonts w:ascii="Times New Roman" w:eastAsia="Times New Roman" w:hAnsi="Times New Roman" w:cs="Times New Roman"/>
          <w:sz w:val="24"/>
          <w:szCs w:val="24"/>
        </w:rPr>
        <w:t>; 5P2</w:t>
      </w:r>
      <w:r w:rsidR="00044B05">
        <w:rPr>
          <w:rFonts w:ascii="Times New Roman" w:eastAsia="Times New Roman" w:hAnsi="Times New Roman" w:cs="Times New Roman"/>
          <w:sz w:val="24"/>
          <w:szCs w:val="24"/>
        </w:rPr>
        <w:t xml:space="preserve"> No non trad</w:t>
      </w:r>
      <w:r w:rsidR="003F2973">
        <w:rPr>
          <w:rFonts w:ascii="Times New Roman" w:eastAsia="Times New Roman" w:hAnsi="Times New Roman" w:cs="Times New Roman"/>
          <w:sz w:val="24"/>
          <w:szCs w:val="24"/>
        </w:rPr>
        <w:t xml:space="preserve"> students</w:t>
      </w:r>
      <w:r w:rsidR="00044B05">
        <w:rPr>
          <w:rFonts w:ascii="Times New Roman" w:eastAsia="Times New Roman" w:hAnsi="Times New Roman" w:cs="Times New Roman"/>
          <w:sz w:val="24"/>
          <w:szCs w:val="24"/>
        </w:rPr>
        <w:t xml:space="preserve"> in AY 16-17. There will be two non </w:t>
      </w:r>
      <w:proofErr w:type="spellStart"/>
      <w:r w:rsidR="00044B05">
        <w:rPr>
          <w:rFonts w:ascii="Times New Roman" w:eastAsia="Times New Roman" w:hAnsi="Times New Roman" w:cs="Times New Roman"/>
          <w:sz w:val="24"/>
          <w:szCs w:val="24"/>
        </w:rPr>
        <w:t>trad</w:t>
      </w:r>
      <w:proofErr w:type="spellEnd"/>
      <w:r w:rsidR="00044B05">
        <w:rPr>
          <w:rFonts w:ascii="Times New Roman" w:eastAsia="Times New Roman" w:hAnsi="Times New Roman" w:cs="Times New Roman"/>
          <w:sz w:val="24"/>
          <w:szCs w:val="24"/>
        </w:rPr>
        <w:t xml:space="preserve"> graduates in AY19-20.</w:t>
      </w:r>
    </w:p>
    <w:p w:rsidR="00053CA0" w:rsidRPr="00CA1CF1" w:rsidRDefault="00053CA0" w:rsidP="00CA1CF1">
      <w:pPr>
        <w:spacing w:before="100" w:beforeAutospacing="1" w:after="100" w:afterAutospacing="1" w:line="240" w:lineRule="auto"/>
        <w:rPr>
          <w:rFonts w:ascii="Times New Roman" w:eastAsia="Times New Roman" w:hAnsi="Times New Roman" w:cs="Times New Roman"/>
          <w:sz w:val="24"/>
          <w:szCs w:val="24"/>
        </w:rPr>
      </w:pPr>
    </w:p>
    <w:p w:rsidR="000753CF" w:rsidRDefault="000753CF" w:rsidP="000753CF">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Par</w:t>
      </w:r>
      <w:r w:rsidRPr="00673496">
        <w:rPr>
          <w:rFonts w:ascii="Times New Roman" w:eastAsia="Times New Roman" w:hAnsi="Times New Roman" w:cs="Times New Roman"/>
          <w:b/>
          <w:bCs/>
          <w:kern w:val="36"/>
          <w:sz w:val="48"/>
          <w:szCs w:val="48"/>
        </w:rPr>
        <w:t>t III. Action Plan</w:t>
      </w:r>
    </w:p>
    <w:p w:rsidR="00AC4378" w:rsidRPr="00AC4378" w:rsidRDefault="00AC4378" w:rsidP="00AC4378">
      <w:pPr>
        <w:pStyle w:val="ListParagraph"/>
        <w:numPr>
          <w:ilvl w:val="0"/>
          <w:numId w:val="1"/>
        </w:numPr>
        <w:rPr>
          <w:rFonts w:ascii="Times New Roman" w:hAnsi="Times New Roman"/>
          <w:sz w:val="24"/>
          <w:szCs w:val="24"/>
        </w:rPr>
      </w:pPr>
      <w:r w:rsidRPr="00AC4378">
        <w:rPr>
          <w:rFonts w:ascii="Times New Roman" w:hAnsi="Times New Roman"/>
          <w:sz w:val="24"/>
          <w:szCs w:val="24"/>
        </w:rPr>
        <w:t xml:space="preserve">Action Plan </w:t>
      </w:r>
    </w:p>
    <w:p w:rsidR="00AC4378" w:rsidRPr="00233B22" w:rsidRDefault="00AC4378" w:rsidP="00AC4378">
      <w:pPr>
        <w:pStyle w:val="ListParagraph"/>
        <w:numPr>
          <w:ilvl w:val="1"/>
          <w:numId w:val="1"/>
        </w:numPr>
        <w:rPr>
          <w:rFonts w:ascii="Times New Roman" w:hAnsi="Times New Roman"/>
          <w:b/>
          <w:sz w:val="24"/>
          <w:szCs w:val="24"/>
        </w:rPr>
      </w:pPr>
      <w:r w:rsidRPr="00233B22">
        <w:rPr>
          <w:rFonts w:ascii="Times New Roman" w:hAnsi="Times New Roman"/>
          <w:b/>
          <w:sz w:val="24"/>
          <w:szCs w:val="24"/>
        </w:rPr>
        <w:t>CASLO Assessment-Standard 6- Creativity</w:t>
      </w:r>
    </w:p>
    <w:p w:rsidR="00AC4378" w:rsidRDefault="00233B22" w:rsidP="00AC4378">
      <w:pPr>
        <w:pStyle w:val="ListParagraph"/>
        <w:ind w:left="1440"/>
        <w:rPr>
          <w:rFonts w:ascii="Times New Roman" w:hAnsi="Times New Roman"/>
          <w:sz w:val="24"/>
          <w:szCs w:val="24"/>
        </w:rPr>
      </w:pPr>
      <w:r>
        <w:rPr>
          <w:rFonts w:ascii="Times New Roman" w:hAnsi="Times New Roman"/>
          <w:sz w:val="24"/>
          <w:szCs w:val="24"/>
        </w:rPr>
        <w:t>On October 25, 2017, f</w:t>
      </w:r>
      <w:r w:rsidRPr="00233B22">
        <w:rPr>
          <w:rFonts w:ascii="Times New Roman" w:hAnsi="Times New Roman"/>
          <w:sz w:val="24"/>
          <w:szCs w:val="24"/>
        </w:rPr>
        <w:t xml:space="preserve">aculty member Leanne Higa discussed this year’s College-wide Academic Student Learning Outcomes (CASLO) assessment of creativity, </w:t>
      </w:r>
      <w:r>
        <w:rPr>
          <w:rFonts w:ascii="Times New Roman" w:hAnsi="Times New Roman"/>
          <w:sz w:val="24"/>
          <w:szCs w:val="24"/>
        </w:rPr>
        <w:t xml:space="preserve">with Dental Hygiene Advisory Committee.  </w:t>
      </w:r>
      <w:r w:rsidRPr="00233B22">
        <w:rPr>
          <w:rFonts w:ascii="Times New Roman" w:hAnsi="Times New Roman"/>
          <w:sz w:val="24"/>
          <w:szCs w:val="24"/>
        </w:rPr>
        <w:t>DH 265 Law &amp; Ethics</w:t>
      </w:r>
      <w:r>
        <w:rPr>
          <w:rFonts w:ascii="Times New Roman" w:hAnsi="Times New Roman"/>
          <w:sz w:val="24"/>
          <w:szCs w:val="24"/>
        </w:rPr>
        <w:t xml:space="preserve"> has been selected to assess Standard 6, creativity.</w:t>
      </w:r>
      <w:r w:rsidRPr="00233B22">
        <w:rPr>
          <w:rFonts w:ascii="Times New Roman" w:hAnsi="Times New Roman"/>
          <w:sz w:val="24"/>
          <w:szCs w:val="24"/>
        </w:rPr>
        <w:t xml:space="preserve">  Ms. Higa discussed two samples of student work (one deemed “exempla</w:t>
      </w:r>
      <w:r>
        <w:rPr>
          <w:rFonts w:ascii="Times New Roman" w:hAnsi="Times New Roman"/>
          <w:sz w:val="24"/>
          <w:szCs w:val="24"/>
        </w:rPr>
        <w:t>ry” and one “minimal”) that was</w:t>
      </w:r>
      <w:r w:rsidRPr="00233B22">
        <w:rPr>
          <w:rFonts w:ascii="Times New Roman" w:hAnsi="Times New Roman"/>
          <w:sz w:val="24"/>
          <w:szCs w:val="24"/>
        </w:rPr>
        <w:t xml:space="preserve"> used to evaluate the core competencies of creativity.</w:t>
      </w:r>
    </w:p>
    <w:p w:rsidR="00233B22" w:rsidRPr="00233B22" w:rsidRDefault="00233B22" w:rsidP="00233B22">
      <w:pPr>
        <w:pStyle w:val="ListParagraph"/>
        <w:ind w:left="1440"/>
        <w:rPr>
          <w:rFonts w:ascii="Times New Roman" w:hAnsi="Times New Roman"/>
          <w:sz w:val="24"/>
          <w:szCs w:val="24"/>
        </w:rPr>
      </w:pPr>
      <w:r w:rsidRPr="00233B22">
        <w:rPr>
          <w:rFonts w:ascii="Times New Roman" w:hAnsi="Times New Roman"/>
          <w:sz w:val="24"/>
          <w:szCs w:val="24"/>
        </w:rPr>
        <w:t xml:space="preserve">Ms. Higa asked </w:t>
      </w:r>
      <w:r>
        <w:rPr>
          <w:rFonts w:ascii="Times New Roman" w:hAnsi="Times New Roman"/>
          <w:sz w:val="24"/>
          <w:szCs w:val="24"/>
        </w:rPr>
        <w:t xml:space="preserve">the Committee </w:t>
      </w:r>
      <w:r w:rsidRPr="00233B22">
        <w:rPr>
          <w:rFonts w:ascii="Times New Roman" w:hAnsi="Times New Roman"/>
          <w:sz w:val="24"/>
          <w:szCs w:val="24"/>
        </w:rPr>
        <w:t>for recommendations on how to engage the students at a deeper level.</w:t>
      </w:r>
    </w:p>
    <w:p w:rsidR="00233B22" w:rsidRPr="00233B22" w:rsidRDefault="00233B22" w:rsidP="00233B22">
      <w:pPr>
        <w:pStyle w:val="ListParagraph"/>
        <w:ind w:left="1440"/>
        <w:rPr>
          <w:rFonts w:ascii="Times New Roman" w:hAnsi="Times New Roman"/>
          <w:sz w:val="24"/>
          <w:szCs w:val="24"/>
        </w:rPr>
      </w:pPr>
    </w:p>
    <w:p w:rsidR="00233B22" w:rsidRPr="00233B22" w:rsidRDefault="00233B22" w:rsidP="00233B22">
      <w:pPr>
        <w:pStyle w:val="ListParagraph"/>
        <w:ind w:left="1440"/>
        <w:rPr>
          <w:rFonts w:ascii="Times New Roman" w:hAnsi="Times New Roman"/>
          <w:sz w:val="24"/>
          <w:szCs w:val="24"/>
        </w:rPr>
      </w:pPr>
      <w:r w:rsidRPr="00233B22">
        <w:rPr>
          <w:rFonts w:ascii="Times New Roman" w:hAnsi="Times New Roman"/>
          <w:sz w:val="24"/>
          <w:szCs w:val="24"/>
        </w:rPr>
        <w:t>The recommendations from Members of the Committee include:</w:t>
      </w:r>
    </w:p>
    <w:p w:rsidR="00233B22" w:rsidRPr="00233B22" w:rsidRDefault="00233B22" w:rsidP="00233B22">
      <w:pPr>
        <w:pStyle w:val="ListParagraph"/>
        <w:ind w:left="1440"/>
        <w:rPr>
          <w:rFonts w:ascii="Times New Roman" w:hAnsi="Times New Roman"/>
          <w:sz w:val="24"/>
          <w:szCs w:val="24"/>
        </w:rPr>
      </w:pPr>
      <w:r w:rsidRPr="00233B22">
        <w:rPr>
          <w:rFonts w:ascii="Times New Roman" w:hAnsi="Times New Roman"/>
          <w:sz w:val="24"/>
          <w:szCs w:val="24"/>
        </w:rPr>
        <w:t>•</w:t>
      </w:r>
      <w:r w:rsidRPr="00233B22">
        <w:rPr>
          <w:rFonts w:ascii="Times New Roman" w:hAnsi="Times New Roman"/>
          <w:sz w:val="24"/>
          <w:szCs w:val="24"/>
        </w:rPr>
        <w:tab/>
        <w:t>Varying the subjects of the discussion assignments</w:t>
      </w:r>
    </w:p>
    <w:p w:rsidR="00233B22" w:rsidRPr="00233B22" w:rsidRDefault="00233B22" w:rsidP="00233B22">
      <w:pPr>
        <w:pStyle w:val="ListParagraph"/>
        <w:ind w:left="1440"/>
        <w:rPr>
          <w:rFonts w:ascii="Times New Roman" w:hAnsi="Times New Roman"/>
          <w:sz w:val="24"/>
          <w:szCs w:val="24"/>
        </w:rPr>
      </w:pPr>
      <w:r w:rsidRPr="00233B22">
        <w:rPr>
          <w:rFonts w:ascii="Times New Roman" w:hAnsi="Times New Roman"/>
          <w:sz w:val="24"/>
          <w:szCs w:val="24"/>
        </w:rPr>
        <w:t>•</w:t>
      </w:r>
      <w:r w:rsidRPr="00233B22">
        <w:rPr>
          <w:rFonts w:ascii="Times New Roman" w:hAnsi="Times New Roman"/>
          <w:sz w:val="24"/>
          <w:szCs w:val="24"/>
        </w:rPr>
        <w:tab/>
        <w:t>Ha</w:t>
      </w:r>
      <w:r>
        <w:rPr>
          <w:rFonts w:ascii="Times New Roman" w:hAnsi="Times New Roman"/>
          <w:sz w:val="24"/>
          <w:szCs w:val="24"/>
        </w:rPr>
        <w:t>ve learner centered discussions</w:t>
      </w:r>
    </w:p>
    <w:p w:rsidR="00233B22" w:rsidRPr="00233B22" w:rsidRDefault="00233B22" w:rsidP="00233B22">
      <w:pPr>
        <w:pStyle w:val="ListParagraph"/>
        <w:ind w:left="1440"/>
        <w:rPr>
          <w:rFonts w:ascii="Times New Roman" w:hAnsi="Times New Roman"/>
          <w:sz w:val="24"/>
          <w:szCs w:val="24"/>
        </w:rPr>
      </w:pPr>
      <w:r w:rsidRPr="00233B22">
        <w:rPr>
          <w:rFonts w:ascii="Times New Roman" w:hAnsi="Times New Roman"/>
          <w:sz w:val="24"/>
          <w:szCs w:val="24"/>
        </w:rPr>
        <w:t>•</w:t>
      </w:r>
      <w:r w:rsidRPr="00233B22">
        <w:rPr>
          <w:rFonts w:ascii="Times New Roman" w:hAnsi="Times New Roman"/>
          <w:sz w:val="24"/>
          <w:szCs w:val="24"/>
        </w:rPr>
        <w:tab/>
        <w:t xml:space="preserve">Students can come up with the topics and instructor will facilitate </w:t>
      </w:r>
    </w:p>
    <w:p w:rsidR="00233B22" w:rsidRPr="00233B22" w:rsidRDefault="00233B22" w:rsidP="00233B22">
      <w:pPr>
        <w:pStyle w:val="ListParagraph"/>
        <w:ind w:left="1440"/>
        <w:rPr>
          <w:rFonts w:ascii="Times New Roman" w:hAnsi="Times New Roman"/>
          <w:sz w:val="24"/>
          <w:szCs w:val="24"/>
        </w:rPr>
      </w:pPr>
      <w:r w:rsidRPr="00233B22">
        <w:rPr>
          <w:rFonts w:ascii="Times New Roman" w:hAnsi="Times New Roman"/>
          <w:sz w:val="24"/>
          <w:szCs w:val="24"/>
        </w:rPr>
        <w:t>•</w:t>
      </w:r>
      <w:r w:rsidRPr="00233B22">
        <w:rPr>
          <w:rFonts w:ascii="Times New Roman" w:hAnsi="Times New Roman"/>
          <w:sz w:val="24"/>
          <w:szCs w:val="24"/>
        </w:rPr>
        <w:tab/>
        <w:t>Consider having a combination of online and face to face instruction</w:t>
      </w:r>
    </w:p>
    <w:p w:rsidR="00233B22" w:rsidRDefault="00233B22" w:rsidP="00233B22">
      <w:pPr>
        <w:pStyle w:val="ListParagraph"/>
        <w:ind w:left="2160" w:hanging="720"/>
        <w:rPr>
          <w:rFonts w:ascii="Times New Roman" w:hAnsi="Times New Roman"/>
          <w:sz w:val="24"/>
          <w:szCs w:val="24"/>
        </w:rPr>
      </w:pPr>
      <w:r w:rsidRPr="00233B22">
        <w:rPr>
          <w:rFonts w:ascii="Times New Roman" w:hAnsi="Times New Roman"/>
          <w:sz w:val="24"/>
          <w:szCs w:val="24"/>
        </w:rPr>
        <w:t>•</w:t>
      </w:r>
      <w:r w:rsidRPr="00233B22">
        <w:rPr>
          <w:rFonts w:ascii="Times New Roman" w:hAnsi="Times New Roman"/>
          <w:sz w:val="24"/>
          <w:szCs w:val="24"/>
        </w:rPr>
        <w:tab/>
        <w:t>Introducing ethics earlier in the curriculum so students become aware of how it affects them</w:t>
      </w:r>
    </w:p>
    <w:p w:rsidR="00233B22" w:rsidRDefault="00233B22" w:rsidP="00233B22">
      <w:pPr>
        <w:pStyle w:val="ListParagraph"/>
        <w:ind w:left="2160" w:hanging="720"/>
        <w:rPr>
          <w:rFonts w:ascii="Times New Roman" w:hAnsi="Times New Roman"/>
          <w:sz w:val="24"/>
          <w:szCs w:val="24"/>
        </w:rPr>
      </w:pPr>
    </w:p>
    <w:p w:rsidR="00233B22" w:rsidRDefault="00233B22" w:rsidP="00233B22">
      <w:pPr>
        <w:pStyle w:val="ListParagraph"/>
        <w:ind w:left="2160" w:hanging="720"/>
        <w:rPr>
          <w:rFonts w:ascii="Times New Roman" w:hAnsi="Times New Roman"/>
          <w:sz w:val="24"/>
          <w:szCs w:val="24"/>
        </w:rPr>
      </w:pPr>
    </w:p>
    <w:p w:rsidR="00201D5A" w:rsidRDefault="00201D5A" w:rsidP="00233B22">
      <w:pPr>
        <w:pStyle w:val="ListParagraph"/>
        <w:ind w:left="2160" w:hanging="720"/>
        <w:rPr>
          <w:rFonts w:ascii="Times New Roman" w:hAnsi="Times New Roman"/>
          <w:sz w:val="24"/>
          <w:szCs w:val="24"/>
        </w:rPr>
      </w:pPr>
    </w:p>
    <w:tbl>
      <w:tblPr>
        <w:tblW w:w="1019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3"/>
        <w:gridCol w:w="4680"/>
      </w:tblGrid>
      <w:tr w:rsidR="00201D5A" w:rsidRPr="00201D5A" w:rsidTr="00201D5A">
        <w:tc>
          <w:tcPr>
            <w:tcW w:w="5513" w:type="dxa"/>
          </w:tcPr>
          <w:p w:rsidR="00201D5A" w:rsidRPr="00201D5A" w:rsidRDefault="00201D5A" w:rsidP="00201D5A">
            <w:pPr>
              <w:spacing w:after="0" w:line="240" w:lineRule="auto"/>
              <w:contextualSpacing/>
              <w:rPr>
                <w:rFonts w:ascii="Times New Roman" w:eastAsia="Calibri" w:hAnsi="Times New Roman" w:cs="Times New Roman"/>
                <w:sz w:val="24"/>
                <w:szCs w:val="24"/>
              </w:rPr>
            </w:pPr>
            <w:r w:rsidRPr="00201D5A">
              <w:rPr>
                <w:rFonts w:ascii="Times New Roman" w:eastAsia="Calibri" w:hAnsi="Times New Roman" w:cs="Times New Roman"/>
                <w:sz w:val="24"/>
                <w:szCs w:val="24"/>
              </w:rPr>
              <w:t>CASLO assessment findings</w:t>
            </w:r>
          </w:p>
        </w:tc>
        <w:tc>
          <w:tcPr>
            <w:tcW w:w="4680" w:type="dxa"/>
          </w:tcPr>
          <w:p w:rsidR="00201D5A" w:rsidRPr="00201D5A" w:rsidRDefault="00201D5A" w:rsidP="00201D5A">
            <w:pPr>
              <w:spacing w:after="0" w:line="240" w:lineRule="auto"/>
              <w:contextualSpacing/>
              <w:rPr>
                <w:rFonts w:ascii="Times New Roman" w:eastAsia="Calibri" w:hAnsi="Times New Roman" w:cs="Times New Roman"/>
                <w:sz w:val="24"/>
                <w:szCs w:val="24"/>
              </w:rPr>
            </w:pPr>
            <w:r w:rsidRPr="00201D5A">
              <w:rPr>
                <w:rFonts w:ascii="Times New Roman" w:eastAsia="Calibri" w:hAnsi="Times New Roman" w:cs="Times New Roman"/>
                <w:sz w:val="24"/>
                <w:szCs w:val="24"/>
              </w:rPr>
              <w:t>Action plan to address findings</w:t>
            </w:r>
          </w:p>
        </w:tc>
      </w:tr>
      <w:tr w:rsidR="00201D5A" w:rsidRPr="00201D5A" w:rsidTr="00201D5A">
        <w:tc>
          <w:tcPr>
            <w:tcW w:w="5513" w:type="dxa"/>
          </w:tcPr>
          <w:p w:rsidR="00AD1F03" w:rsidRDefault="00AD1F03" w:rsidP="00201D5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In DH 265 Law and Ethics, t</w:t>
            </w:r>
            <w:r w:rsidR="002356AD" w:rsidRPr="002356AD">
              <w:rPr>
                <w:rFonts w:ascii="Times New Roman" w:eastAsia="Calibri" w:hAnsi="Times New Roman" w:cs="Times New Roman"/>
                <w:sz w:val="24"/>
                <w:szCs w:val="24"/>
              </w:rPr>
              <w:t>he students express their ideas through a variety of forms.   Throughout the course, most of their work was done on Laulima in the online class discussions.</w:t>
            </w:r>
            <w:r>
              <w:rPr>
                <w:rFonts w:ascii="Times New Roman" w:eastAsia="Calibri" w:hAnsi="Times New Roman" w:cs="Times New Roman"/>
                <w:sz w:val="24"/>
                <w:szCs w:val="24"/>
              </w:rPr>
              <w:t xml:space="preserve"> During the course there were 20 topics for online classroom discussion.  The total number of posts between all students and the instructor were 396.</w:t>
            </w:r>
          </w:p>
          <w:p w:rsidR="00AD1F03" w:rsidRDefault="00AD1F03" w:rsidP="00201D5A">
            <w:pPr>
              <w:spacing w:after="0" w:line="240" w:lineRule="auto"/>
              <w:contextualSpacing/>
              <w:rPr>
                <w:rFonts w:ascii="Times New Roman" w:eastAsia="Calibri" w:hAnsi="Times New Roman" w:cs="Times New Roman"/>
                <w:sz w:val="24"/>
                <w:szCs w:val="24"/>
              </w:rPr>
            </w:pPr>
          </w:p>
          <w:p w:rsidR="00AD1F03" w:rsidRDefault="00AD1F03" w:rsidP="00201D5A">
            <w:pPr>
              <w:spacing w:after="0" w:line="240" w:lineRule="auto"/>
              <w:contextualSpacing/>
              <w:rPr>
                <w:rFonts w:ascii="Times New Roman" w:eastAsia="Calibri" w:hAnsi="Times New Roman" w:cs="Times New Roman"/>
                <w:sz w:val="24"/>
                <w:szCs w:val="24"/>
              </w:rPr>
            </w:pPr>
            <w:r w:rsidRPr="00AD1F03">
              <w:rPr>
                <w:rFonts w:ascii="Times New Roman" w:eastAsia="Calibri" w:hAnsi="Times New Roman" w:cs="Times New Roman"/>
                <w:sz w:val="24"/>
                <w:szCs w:val="24"/>
              </w:rPr>
              <w:t>Their ideas for class discussions were mainly textbook scenarios</w:t>
            </w:r>
            <w:r>
              <w:rPr>
                <w:rFonts w:ascii="Times New Roman" w:eastAsia="Calibri" w:hAnsi="Times New Roman" w:cs="Times New Roman"/>
                <w:sz w:val="24"/>
                <w:szCs w:val="24"/>
              </w:rPr>
              <w:t>, however the most student engagement occurred during one online L</w:t>
            </w:r>
            <w:r w:rsidRPr="00AD1F03">
              <w:rPr>
                <w:rFonts w:ascii="Times New Roman" w:eastAsia="Calibri" w:hAnsi="Times New Roman" w:cs="Times New Roman"/>
                <w:sz w:val="24"/>
                <w:szCs w:val="24"/>
              </w:rPr>
              <w:t>aulima discussion that involved them reporting on a situation that they encountered during clinic where they were forced to make a decision between conflicting actions.  They were also asked to determine which core values and ethical principles were involved in the situation.  </w:t>
            </w:r>
          </w:p>
          <w:p w:rsidR="00AD1F03" w:rsidRDefault="00AD1F03" w:rsidP="00201D5A">
            <w:pPr>
              <w:spacing w:after="0" w:line="240" w:lineRule="auto"/>
              <w:contextualSpacing/>
              <w:rPr>
                <w:rFonts w:ascii="Times New Roman" w:eastAsia="Calibri" w:hAnsi="Times New Roman" w:cs="Times New Roman"/>
                <w:sz w:val="24"/>
                <w:szCs w:val="24"/>
              </w:rPr>
            </w:pPr>
          </w:p>
          <w:p w:rsidR="00201D5A" w:rsidRDefault="00A75E5F" w:rsidP="00201D5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Students were having difficulty with engagement in the </w:t>
            </w:r>
            <w:r w:rsidR="00AD1F03">
              <w:rPr>
                <w:rFonts w:ascii="Times New Roman" w:eastAsia="Calibri" w:hAnsi="Times New Roman" w:cs="Times New Roman"/>
                <w:sz w:val="24"/>
                <w:szCs w:val="24"/>
              </w:rPr>
              <w:t xml:space="preserve">textbook scenarios covered in the </w:t>
            </w:r>
            <w:r>
              <w:rPr>
                <w:rFonts w:ascii="Times New Roman" w:eastAsia="Calibri" w:hAnsi="Times New Roman" w:cs="Times New Roman"/>
                <w:sz w:val="24"/>
                <w:szCs w:val="24"/>
              </w:rPr>
              <w:t xml:space="preserve">course material during the online portion of the hybrid online and face-to-face course.  </w:t>
            </w:r>
            <w:r w:rsidR="00AD1F03">
              <w:rPr>
                <w:rFonts w:ascii="Times New Roman" w:eastAsia="Calibri" w:hAnsi="Times New Roman" w:cs="Times New Roman"/>
                <w:sz w:val="24"/>
                <w:szCs w:val="24"/>
              </w:rPr>
              <w:t xml:space="preserve">The students </w:t>
            </w:r>
            <w:r w:rsidR="00AD1F03" w:rsidRPr="00AD1F03">
              <w:rPr>
                <w:rFonts w:ascii="Times New Roman" w:eastAsia="Calibri" w:hAnsi="Times New Roman" w:cs="Times New Roman"/>
                <w:sz w:val="24"/>
                <w:szCs w:val="24"/>
              </w:rPr>
              <w:t>did the minimal amount of responses to each other</w:t>
            </w:r>
            <w:r w:rsidR="00AD1F03">
              <w:rPr>
                <w:rFonts w:ascii="Times New Roman" w:eastAsia="Calibri" w:hAnsi="Times New Roman" w:cs="Times New Roman"/>
                <w:sz w:val="24"/>
                <w:szCs w:val="24"/>
              </w:rPr>
              <w:t xml:space="preserve"> with very similar responses </w:t>
            </w:r>
            <w:r w:rsidR="00AD1F03" w:rsidRPr="00AD1F03">
              <w:rPr>
                <w:rFonts w:ascii="Times New Roman" w:eastAsia="Calibri" w:hAnsi="Times New Roman" w:cs="Times New Roman"/>
                <w:sz w:val="24"/>
                <w:szCs w:val="24"/>
              </w:rPr>
              <w:t>and they did not have much more to add to the textbook discussions</w:t>
            </w:r>
            <w:r w:rsidR="00AD1F03">
              <w:rPr>
                <w:rFonts w:ascii="Times New Roman" w:eastAsia="Calibri" w:hAnsi="Times New Roman" w:cs="Times New Roman"/>
                <w:sz w:val="24"/>
                <w:szCs w:val="24"/>
              </w:rPr>
              <w:t xml:space="preserve"> once the first few students posted their responses</w:t>
            </w:r>
            <w:r w:rsidR="00AD1F03" w:rsidRPr="00AD1F03">
              <w:rPr>
                <w:rFonts w:ascii="Times New Roman" w:eastAsia="Calibri" w:hAnsi="Times New Roman" w:cs="Times New Roman"/>
                <w:sz w:val="24"/>
                <w:szCs w:val="24"/>
              </w:rPr>
              <w:t>.</w:t>
            </w:r>
          </w:p>
          <w:p w:rsidR="00A75E5F" w:rsidRDefault="00A75E5F" w:rsidP="00201D5A">
            <w:pPr>
              <w:spacing w:after="0" w:line="240" w:lineRule="auto"/>
              <w:contextualSpacing/>
              <w:rPr>
                <w:rFonts w:ascii="Times New Roman" w:eastAsia="Calibri" w:hAnsi="Times New Roman" w:cs="Times New Roman"/>
                <w:sz w:val="24"/>
                <w:szCs w:val="24"/>
              </w:rPr>
            </w:pPr>
          </w:p>
          <w:p w:rsidR="00A75E5F" w:rsidRPr="00201D5A" w:rsidRDefault="00A75E5F" w:rsidP="00201D5A">
            <w:pPr>
              <w:spacing w:after="0" w:line="240" w:lineRule="auto"/>
              <w:contextualSpacing/>
              <w:rPr>
                <w:rFonts w:ascii="Times New Roman" w:eastAsia="Calibri" w:hAnsi="Times New Roman" w:cs="Times New Roman"/>
                <w:sz w:val="24"/>
                <w:szCs w:val="24"/>
              </w:rPr>
            </w:pPr>
          </w:p>
        </w:tc>
        <w:tc>
          <w:tcPr>
            <w:tcW w:w="4680" w:type="dxa"/>
          </w:tcPr>
          <w:p w:rsidR="00201D5A" w:rsidRPr="00201D5A" w:rsidRDefault="00201D5A" w:rsidP="00201D5A">
            <w:pPr>
              <w:spacing w:after="0" w:line="240" w:lineRule="auto"/>
              <w:contextualSpacing/>
              <w:rPr>
                <w:rFonts w:ascii="Times New Roman" w:eastAsia="Calibri" w:hAnsi="Times New Roman" w:cs="Times New Roman"/>
                <w:sz w:val="24"/>
                <w:szCs w:val="24"/>
              </w:rPr>
            </w:pPr>
            <w:r w:rsidRPr="00201D5A">
              <w:rPr>
                <w:rFonts w:ascii="Times New Roman" w:eastAsia="Calibri" w:hAnsi="Times New Roman" w:cs="Times New Roman"/>
                <w:sz w:val="24"/>
                <w:szCs w:val="24"/>
              </w:rPr>
              <w:t>Require students to report on their</w:t>
            </w:r>
            <w:r w:rsidR="00EE459C">
              <w:rPr>
                <w:rFonts w:ascii="Times New Roman" w:eastAsia="Calibri" w:hAnsi="Times New Roman" w:cs="Times New Roman"/>
                <w:sz w:val="24"/>
                <w:szCs w:val="24"/>
              </w:rPr>
              <w:t xml:space="preserve"> </w:t>
            </w:r>
            <w:r w:rsidR="00195C30">
              <w:rPr>
                <w:rFonts w:ascii="Times New Roman" w:eastAsia="Calibri" w:hAnsi="Times New Roman" w:cs="Times New Roman"/>
                <w:sz w:val="24"/>
                <w:szCs w:val="24"/>
              </w:rPr>
              <w:t xml:space="preserve">creative </w:t>
            </w:r>
            <w:r w:rsidR="00195C30" w:rsidRPr="00201D5A">
              <w:rPr>
                <w:rFonts w:ascii="Times New Roman" w:eastAsia="Calibri" w:hAnsi="Times New Roman" w:cs="Times New Roman"/>
                <w:sz w:val="24"/>
                <w:szCs w:val="24"/>
              </w:rPr>
              <w:t>thinking</w:t>
            </w:r>
            <w:r w:rsidRPr="00201D5A">
              <w:rPr>
                <w:rFonts w:ascii="Times New Roman" w:eastAsia="Calibri" w:hAnsi="Times New Roman" w:cs="Times New Roman"/>
                <w:sz w:val="24"/>
                <w:szCs w:val="24"/>
              </w:rPr>
              <w:t xml:space="preserve"> process when solving real-world problems. Consult the CASLO </w:t>
            </w:r>
            <w:r>
              <w:rPr>
                <w:rFonts w:ascii="Times New Roman" w:eastAsia="Calibri" w:hAnsi="Times New Roman" w:cs="Times New Roman"/>
                <w:sz w:val="24"/>
                <w:szCs w:val="24"/>
              </w:rPr>
              <w:t>creativity</w:t>
            </w:r>
            <w:r w:rsidRPr="00201D5A">
              <w:rPr>
                <w:rFonts w:ascii="Times New Roman" w:eastAsia="Calibri" w:hAnsi="Times New Roman" w:cs="Times New Roman"/>
                <w:sz w:val="24"/>
                <w:szCs w:val="24"/>
              </w:rPr>
              <w:t xml:space="preserve"> Rubric as a guide in designing an assignment that requi</w:t>
            </w:r>
            <w:r>
              <w:rPr>
                <w:rFonts w:ascii="Times New Roman" w:eastAsia="Calibri" w:hAnsi="Times New Roman" w:cs="Times New Roman"/>
                <w:sz w:val="24"/>
                <w:szCs w:val="24"/>
              </w:rPr>
              <w:t xml:space="preserve">res students to demonstrate creative </w:t>
            </w:r>
            <w:r w:rsidRPr="00201D5A">
              <w:rPr>
                <w:rFonts w:ascii="Times New Roman" w:eastAsia="Calibri" w:hAnsi="Times New Roman" w:cs="Times New Roman"/>
                <w:sz w:val="24"/>
                <w:szCs w:val="24"/>
              </w:rPr>
              <w:t>thinking components.</w:t>
            </w:r>
          </w:p>
          <w:p w:rsidR="00201D5A" w:rsidRDefault="00201D5A" w:rsidP="000276A1">
            <w:pPr>
              <w:spacing w:after="0" w:line="240" w:lineRule="auto"/>
              <w:contextualSpacing/>
              <w:rPr>
                <w:rFonts w:ascii="Times New Roman" w:eastAsia="Calibri" w:hAnsi="Times New Roman" w:cs="Times New Roman"/>
                <w:sz w:val="24"/>
                <w:szCs w:val="24"/>
              </w:rPr>
            </w:pPr>
            <w:r w:rsidRPr="00201D5A">
              <w:rPr>
                <w:rFonts w:ascii="Times New Roman" w:eastAsia="Calibri" w:hAnsi="Times New Roman" w:cs="Times New Roman"/>
                <w:sz w:val="24"/>
                <w:szCs w:val="24"/>
              </w:rPr>
              <w:t xml:space="preserve">Implemented use of reflection questions, allows the student to describe the thinking process in various scenarios of clinical practice. In addition, using a rubric for evaluating </w:t>
            </w:r>
            <w:r>
              <w:rPr>
                <w:rFonts w:ascii="Times New Roman" w:eastAsia="Calibri" w:hAnsi="Times New Roman" w:cs="Times New Roman"/>
                <w:sz w:val="24"/>
                <w:szCs w:val="24"/>
              </w:rPr>
              <w:t xml:space="preserve">ethical </w:t>
            </w:r>
            <w:r w:rsidR="000276A1">
              <w:rPr>
                <w:rFonts w:ascii="Times New Roman" w:eastAsia="Calibri" w:hAnsi="Times New Roman" w:cs="Times New Roman"/>
                <w:sz w:val="24"/>
                <w:szCs w:val="24"/>
              </w:rPr>
              <w:t>dilemmas,</w:t>
            </w:r>
            <w:r w:rsidRPr="00201D5A">
              <w:rPr>
                <w:rFonts w:ascii="Times New Roman" w:eastAsia="Calibri" w:hAnsi="Times New Roman" w:cs="Times New Roman"/>
                <w:sz w:val="24"/>
                <w:szCs w:val="24"/>
              </w:rPr>
              <w:t xml:space="preserve"> allows </w:t>
            </w:r>
            <w:r w:rsidR="000276A1">
              <w:rPr>
                <w:rFonts w:ascii="Times New Roman" w:eastAsia="Calibri" w:hAnsi="Times New Roman" w:cs="Times New Roman"/>
                <w:sz w:val="24"/>
                <w:szCs w:val="24"/>
              </w:rPr>
              <w:t xml:space="preserve">students to develop a sense of the right standards of care in regards to ethical practice. It may simplify </w:t>
            </w:r>
            <w:r w:rsidR="000276A1" w:rsidRPr="00201D5A">
              <w:rPr>
                <w:rFonts w:ascii="Times New Roman" w:eastAsia="Calibri" w:hAnsi="Times New Roman" w:cs="Times New Roman"/>
                <w:sz w:val="24"/>
                <w:szCs w:val="24"/>
              </w:rPr>
              <w:t>discussion</w:t>
            </w:r>
            <w:r w:rsidR="000276A1">
              <w:rPr>
                <w:rFonts w:ascii="Times New Roman" w:eastAsia="Calibri" w:hAnsi="Times New Roman" w:cs="Times New Roman"/>
                <w:sz w:val="24"/>
                <w:szCs w:val="24"/>
              </w:rPr>
              <w:t>s of findings with colleagues</w:t>
            </w:r>
            <w:r w:rsidRPr="00201D5A">
              <w:rPr>
                <w:rFonts w:ascii="Times New Roman" w:eastAsia="Calibri" w:hAnsi="Times New Roman" w:cs="Times New Roman"/>
                <w:sz w:val="24"/>
                <w:szCs w:val="24"/>
              </w:rPr>
              <w:t xml:space="preserve">. </w:t>
            </w:r>
          </w:p>
          <w:p w:rsidR="00AD1F03" w:rsidRDefault="00AD1F03" w:rsidP="000276A1">
            <w:pPr>
              <w:spacing w:after="0" w:line="240" w:lineRule="auto"/>
              <w:contextualSpacing/>
              <w:rPr>
                <w:rFonts w:ascii="Times New Roman" w:eastAsia="Calibri" w:hAnsi="Times New Roman" w:cs="Times New Roman"/>
                <w:sz w:val="24"/>
                <w:szCs w:val="24"/>
              </w:rPr>
            </w:pPr>
          </w:p>
          <w:p w:rsidR="00AD1F03" w:rsidRPr="00201D5A" w:rsidRDefault="00AD1F03" w:rsidP="000276A1">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I</w:t>
            </w:r>
            <w:r w:rsidR="0011578D">
              <w:rPr>
                <w:rFonts w:ascii="Times New Roman" w:eastAsia="Calibri" w:hAnsi="Times New Roman" w:cs="Times New Roman"/>
                <w:sz w:val="24"/>
                <w:szCs w:val="24"/>
              </w:rPr>
              <w:t>ncrease</w:t>
            </w:r>
            <w:r>
              <w:rPr>
                <w:rFonts w:ascii="Times New Roman" w:eastAsia="Calibri" w:hAnsi="Times New Roman" w:cs="Times New Roman"/>
                <w:sz w:val="24"/>
                <w:szCs w:val="24"/>
              </w:rPr>
              <w:t xml:space="preserve"> perceptions about the</w:t>
            </w:r>
            <w:r w:rsidR="0011578D">
              <w:rPr>
                <w:rFonts w:ascii="Times New Roman" w:eastAsia="Calibri" w:hAnsi="Times New Roman" w:cs="Times New Roman"/>
                <w:sz w:val="24"/>
                <w:szCs w:val="24"/>
              </w:rPr>
              <w:t xml:space="preserve"> course, the</w:t>
            </w:r>
            <w:r>
              <w:rPr>
                <w:rFonts w:ascii="Times New Roman" w:eastAsia="Calibri" w:hAnsi="Times New Roman" w:cs="Times New Roman"/>
                <w:sz w:val="24"/>
                <w:szCs w:val="24"/>
              </w:rPr>
              <w:t xml:space="preserve"> course materia</w:t>
            </w:r>
            <w:r w:rsidR="0011578D">
              <w:rPr>
                <w:rFonts w:ascii="Times New Roman" w:eastAsia="Calibri" w:hAnsi="Times New Roman" w:cs="Times New Roman"/>
                <w:sz w:val="24"/>
                <w:szCs w:val="24"/>
              </w:rPr>
              <w:t>l, and the instructor by increasing instructor immediacy in the classroom.  This will be accomplished by, varying the delivery of information using multimedia sources, providing regular timely feedback, engaging students in creating learning experiences, and using exit tickets such as observations and class discussion evaluations.</w:t>
            </w:r>
          </w:p>
        </w:tc>
      </w:tr>
      <w:tr w:rsidR="00201D5A" w:rsidRPr="00201D5A" w:rsidTr="00201D5A">
        <w:tc>
          <w:tcPr>
            <w:tcW w:w="5513" w:type="dxa"/>
          </w:tcPr>
          <w:p w:rsidR="00201D5A" w:rsidRPr="00201D5A" w:rsidRDefault="000276A1" w:rsidP="000276A1">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Practice</w:t>
            </w:r>
            <w:r w:rsidR="00201D5A" w:rsidRPr="00201D5A">
              <w:rPr>
                <w:rFonts w:ascii="Times New Roman" w:eastAsia="Calibri" w:hAnsi="Times New Roman" w:cs="Times New Roman"/>
                <w:sz w:val="24"/>
                <w:szCs w:val="24"/>
              </w:rPr>
              <w:t xml:space="preserve"> desired skills. Over time students obtain the strategies/foundation to continue </w:t>
            </w:r>
            <w:r>
              <w:rPr>
                <w:rFonts w:ascii="Times New Roman" w:eastAsia="Calibri" w:hAnsi="Times New Roman" w:cs="Times New Roman"/>
                <w:sz w:val="24"/>
                <w:szCs w:val="24"/>
              </w:rPr>
              <w:t xml:space="preserve">Creative </w:t>
            </w:r>
            <w:r w:rsidR="00201D5A" w:rsidRPr="00201D5A">
              <w:rPr>
                <w:rFonts w:ascii="Times New Roman" w:eastAsia="Calibri" w:hAnsi="Times New Roman" w:cs="Times New Roman"/>
                <w:sz w:val="24"/>
                <w:szCs w:val="24"/>
              </w:rPr>
              <w:t xml:space="preserve"> thinking skills when they start their careers.</w:t>
            </w:r>
          </w:p>
        </w:tc>
        <w:tc>
          <w:tcPr>
            <w:tcW w:w="4680" w:type="dxa"/>
          </w:tcPr>
          <w:p w:rsidR="00201D5A" w:rsidRPr="00201D5A" w:rsidRDefault="00201D5A" w:rsidP="00201D5A">
            <w:pPr>
              <w:spacing w:after="0" w:line="240" w:lineRule="auto"/>
              <w:contextualSpacing/>
              <w:rPr>
                <w:rFonts w:ascii="Times New Roman" w:eastAsia="Calibri" w:hAnsi="Times New Roman" w:cs="Times New Roman"/>
                <w:sz w:val="24"/>
                <w:szCs w:val="24"/>
              </w:rPr>
            </w:pPr>
            <w:r w:rsidRPr="00201D5A">
              <w:rPr>
                <w:rFonts w:ascii="Times New Roman" w:eastAsia="Calibri" w:hAnsi="Times New Roman" w:cs="Times New Roman"/>
                <w:sz w:val="24"/>
                <w:szCs w:val="24"/>
              </w:rPr>
              <w:t xml:space="preserve">Display and model </w:t>
            </w:r>
            <w:r w:rsidR="000276A1">
              <w:rPr>
                <w:rFonts w:ascii="Times New Roman" w:eastAsia="Calibri" w:hAnsi="Times New Roman" w:cs="Times New Roman"/>
                <w:sz w:val="24"/>
                <w:szCs w:val="24"/>
              </w:rPr>
              <w:t xml:space="preserve">Creative </w:t>
            </w:r>
            <w:r w:rsidRPr="00201D5A">
              <w:rPr>
                <w:rFonts w:ascii="Times New Roman" w:eastAsia="Calibri" w:hAnsi="Times New Roman" w:cs="Times New Roman"/>
                <w:sz w:val="24"/>
                <w:szCs w:val="24"/>
              </w:rPr>
              <w:t xml:space="preserve">thinking for students. Walk them through the thought process involved in solving a problem. Instead of telling a student what to do, model </w:t>
            </w:r>
            <w:r w:rsidR="000276A1">
              <w:rPr>
                <w:rFonts w:ascii="Times New Roman" w:eastAsia="Calibri" w:hAnsi="Times New Roman" w:cs="Times New Roman"/>
                <w:sz w:val="24"/>
                <w:szCs w:val="24"/>
              </w:rPr>
              <w:t xml:space="preserve">Creative </w:t>
            </w:r>
            <w:r w:rsidR="000276A1" w:rsidRPr="00201D5A">
              <w:rPr>
                <w:rFonts w:ascii="Times New Roman" w:eastAsia="Calibri" w:hAnsi="Times New Roman" w:cs="Times New Roman"/>
                <w:sz w:val="24"/>
                <w:szCs w:val="24"/>
              </w:rPr>
              <w:t>thinking</w:t>
            </w:r>
            <w:r w:rsidRPr="00201D5A">
              <w:rPr>
                <w:rFonts w:ascii="Times New Roman" w:eastAsia="Calibri" w:hAnsi="Times New Roman" w:cs="Times New Roman"/>
                <w:sz w:val="24"/>
                <w:szCs w:val="24"/>
              </w:rPr>
              <w:t xml:space="preserve"> in action.</w:t>
            </w:r>
          </w:p>
          <w:p w:rsidR="00201D5A" w:rsidRPr="00201D5A" w:rsidRDefault="00201D5A" w:rsidP="00201D5A">
            <w:pPr>
              <w:spacing w:after="0" w:line="240" w:lineRule="auto"/>
              <w:contextualSpacing/>
              <w:rPr>
                <w:rFonts w:ascii="Times New Roman" w:eastAsia="Calibri" w:hAnsi="Times New Roman" w:cs="Times New Roman"/>
                <w:sz w:val="24"/>
                <w:szCs w:val="24"/>
              </w:rPr>
            </w:pPr>
          </w:p>
        </w:tc>
      </w:tr>
    </w:tbl>
    <w:p w:rsidR="00201D5A" w:rsidRPr="00233B22" w:rsidRDefault="00201D5A" w:rsidP="00233B22">
      <w:pPr>
        <w:pStyle w:val="ListParagraph"/>
        <w:ind w:left="2160" w:hanging="720"/>
        <w:rPr>
          <w:rFonts w:ascii="Times New Roman" w:hAnsi="Times New Roman"/>
          <w:sz w:val="24"/>
          <w:szCs w:val="24"/>
        </w:rPr>
      </w:pPr>
    </w:p>
    <w:p w:rsidR="00233B22" w:rsidRPr="00233B22" w:rsidRDefault="00AC4378" w:rsidP="00233B22">
      <w:pPr>
        <w:pStyle w:val="ListParagraph"/>
        <w:numPr>
          <w:ilvl w:val="1"/>
          <w:numId w:val="1"/>
        </w:numPr>
        <w:rPr>
          <w:rFonts w:ascii="Times New Roman" w:eastAsia="Times New Roman" w:hAnsi="Times New Roman"/>
          <w:b/>
          <w:bCs/>
          <w:kern w:val="36"/>
          <w:sz w:val="24"/>
          <w:szCs w:val="24"/>
        </w:rPr>
      </w:pPr>
      <w:r w:rsidRPr="00AC4378">
        <w:rPr>
          <w:rFonts w:ascii="Times New Roman" w:hAnsi="Times New Roman"/>
          <w:b/>
          <w:sz w:val="24"/>
          <w:szCs w:val="24"/>
        </w:rPr>
        <w:t>Program improvement</w:t>
      </w:r>
    </w:p>
    <w:p w:rsidR="00AC4378" w:rsidRPr="00AC4378" w:rsidRDefault="00233B22" w:rsidP="00233B22">
      <w:pPr>
        <w:pStyle w:val="ListParagraph"/>
        <w:ind w:left="1440"/>
        <w:rPr>
          <w:rFonts w:ascii="Times New Roman" w:eastAsia="Times New Roman" w:hAnsi="Times New Roman"/>
          <w:b/>
          <w:bCs/>
          <w:kern w:val="36"/>
          <w:sz w:val="24"/>
          <w:szCs w:val="24"/>
        </w:rPr>
      </w:pPr>
      <w:r w:rsidRPr="00AC4378">
        <w:rPr>
          <w:rFonts w:ascii="Times New Roman" w:eastAsia="Times New Roman" w:hAnsi="Times New Roman"/>
          <w:b/>
          <w:bCs/>
          <w:kern w:val="36"/>
          <w:sz w:val="24"/>
          <w:szCs w:val="24"/>
        </w:rPr>
        <w:t xml:space="preserve"> </w:t>
      </w:r>
    </w:p>
    <w:p w:rsidR="00AC4378" w:rsidRPr="00673496" w:rsidRDefault="00AC4378" w:rsidP="000753CF">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432409" w:rsidRPr="00432409" w:rsidRDefault="00432409" w:rsidP="00432409">
      <w:pPr>
        <w:pBdr>
          <w:bottom w:val="dotted" w:sz="6" w:space="4" w:color="BEBEBE"/>
        </w:pBdr>
        <w:shd w:val="clear" w:color="auto" w:fill="FFFFFF"/>
        <w:spacing w:before="150" w:after="75" w:line="240" w:lineRule="auto"/>
        <w:outlineLvl w:val="1"/>
        <w:rPr>
          <w:rFonts w:ascii="Times New Roman" w:eastAsia="Times New Roman" w:hAnsi="Times New Roman" w:cs="Times New Roman"/>
          <w:b/>
          <w:bCs/>
          <w:color w:val="000000"/>
          <w:sz w:val="48"/>
          <w:szCs w:val="48"/>
        </w:rPr>
      </w:pPr>
      <w:bookmarkStart w:id="1" w:name="p4"/>
      <w:r w:rsidRPr="00432409">
        <w:rPr>
          <w:rFonts w:ascii="Times New Roman" w:eastAsia="Times New Roman" w:hAnsi="Times New Roman" w:cs="Times New Roman"/>
          <w:b/>
          <w:bCs/>
          <w:color w:val="000000"/>
          <w:sz w:val="48"/>
          <w:szCs w:val="48"/>
        </w:rPr>
        <w:t>Part IV. Resource Implications</w:t>
      </w:r>
      <w:bookmarkEnd w:id="1"/>
    </w:p>
    <w:p w:rsidR="00233B22" w:rsidRPr="00233B22" w:rsidRDefault="00233B22" w:rsidP="00233B22">
      <w:pPr>
        <w:spacing w:after="200" w:line="276" w:lineRule="auto"/>
        <w:ind w:left="720"/>
        <w:contextualSpacing/>
        <w:rPr>
          <w:rFonts w:ascii="Calibri" w:eastAsia="Calibri" w:hAnsi="Calibri" w:cs="Times New Roman"/>
        </w:rPr>
      </w:pPr>
      <w:r w:rsidRPr="00233B22">
        <w:rPr>
          <w:rFonts w:ascii="Calibri" w:eastAsia="Calibri" w:hAnsi="Calibri" w:cs="Times New Roman"/>
        </w:rPr>
        <w:lastRenderedPageBreak/>
        <w:t>List of top three resource requests (IV):</w:t>
      </w:r>
    </w:p>
    <w:p w:rsidR="00233B22" w:rsidRPr="00233B22" w:rsidRDefault="00233B22" w:rsidP="00233B22">
      <w:pPr>
        <w:spacing w:after="200" w:line="276" w:lineRule="auto"/>
        <w:ind w:left="720"/>
        <w:contextualSpacing/>
        <w:rPr>
          <w:rFonts w:ascii="Calibri" w:eastAsia="Calibri" w:hAnsi="Calibri" w:cs="Times New Roman"/>
        </w:rPr>
      </w:pPr>
    </w:p>
    <w:tbl>
      <w:tblPr>
        <w:tblW w:w="1071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1224"/>
        <w:gridCol w:w="2864"/>
        <w:gridCol w:w="3732"/>
      </w:tblGrid>
      <w:tr w:rsidR="00233B22" w:rsidRPr="00233B22" w:rsidTr="003866BE">
        <w:tc>
          <w:tcPr>
            <w:tcW w:w="2920" w:type="dxa"/>
          </w:tcPr>
          <w:p w:rsidR="00233B22" w:rsidRPr="00233B22" w:rsidRDefault="00233B22" w:rsidP="00233B22">
            <w:pPr>
              <w:spacing w:after="0" w:line="240" w:lineRule="auto"/>
              <w:contextualSpacing/>
              <w:rPr>
                <w:rFonts w:ascii="Calibri" w:eastAsia="Calibri" w:hAnsi="Calibri" w:cs="Times New Roman"/>
              </w:rPr>
            </w:pPr>
            <w:r w:rsidRPr="00233B22">
              <w:rPr>
                <w:rFonts w:ascii="Calibri" w:eastAsia="Calibri" w:hAnsi="Calibri" w:cs="Times New Roman"/>
              </w:rPr>
              <w:t>Budget request</w:t>
            </w:r>
          </w:p>
        </w:tc>
        <w:tc>
          <w:tcPr>
            <w:tcW w:w="1130" w:type="dxa"/>
          </w:tcPr>
          <w:p w:rsidR="00233B22" w:rsidRPr="00233B22" w:rsidRDefault="00233B22" w:rsidP="00233B22">
            <w:pPr>
              <w:spacing w:after="0" w:line="240" w:lineRule="auto"/>
              <w:contextualSpacing/>
              <w:rPr>
                <w:rFonts w:ascii="Calibri" w:eastAsia="Calibri" w:hAnsi="Calibri" w:cs="Times New Roman"/>
              </w:rPr>
            </w:pPr>
            <w:r w:rsidRPr="00233B22">
              <w:rPr>
                <w:rFonts w:ascii="Calibri" w:eastAsia="Calibri" w:hAnsi="Calibri" w:cs="Times New Roman"/>
              </w:rPr>
              <w:t>Amount</w:t>
            </w:r>
          </w:p>
        </w:tc>
        <w:tc>
          <w:tcPr>
            <w:tcW w:w="2887" w:type="dxa"/>
          </w:tcPr>
          <w:p w:rsidR="00233B22" w:rsidRPr="00233B22" w:rsidRDefault="00233B22" w:rsidP="00233B22">
            <w:pPr>
              <w:spacing w:after="0" w:line="240" w:lineRule="auto"/>
              <w:contextualSpacing/>
              <w:rPr>
                <w:rFonts w:ascii="Calibri" w:eastAsia="Calibri" w:hAnsi="Calibri" w:cs="Times New Roman"/>
              </w:rPr>
            </w:pPr>
            <w:r w:rsidRPr="00233B22">
              <w:rPr>
                <w:rFonts w:ascii="Calibri" w:eastAsia="Calibri" w:hAnsi="Calibri" w:cs="Times New Roman"/>
              </w:rPr>
              <w:t xml:space="preserve">In 100 words or less describe how does this request relate to the strategic plan </w:t>
            </w:r>
          </w:p>
        </w:tc>
        <w:tc>
          <w:tcPr>
            <w:tcW w:w="3773" w:type="dxa"/>
          </w:tcPr>
          <w:p w:rsidR="00233B22" w:rsidRPr="00233B22" w:rsidRDefault="00233B22" w:rsidP="00233B22">
            <w:pPr>
              <w:spacing w:after="0" w:line="240" w:lineRule="auto"/>
              <w:contextualSpacing/>
              <w:rPr>
                <w:rFonts w:ascii="Calibri" w:eastAsia="Calibri" w:hAnsi="Calibri" w:cs="Times New Roman"/>
              </w:rPr>
            </w:pPr>
            <w:r w:rsidRPr="00233B22">
              <w:rPr>
                <w:rFonts w:ascii="Calibri" w:eastAsia="Calibri" w:hAnsi="Calibri" w:cs="Times New Roman"/>
              </w:rPr>
              <w:t xml:space="preserve">If outside of the Strategic Plan provide rational for the request (in 100 words or less). </w:t>
            </w:r>
          </w:p>
        </w:tc>
      </w:tr>
      <w:tr w:rsidR="00233B22" w:rsidRPr="00233B22" w:rsidTr="003866BE">
        <w:tc>
          <w:tcPr>
            <w:tcW w:w="2920" w:type="dxa"/>
          </w:tcPr>
          <w:p w:rsidR="00233B22" w:rsidRPr="00233B22" w:rsidRDefault="00233B22" w:rsidP="00233B22">
            <w:pPr>
              <w:spacing w:after="200" w:line="276" w:lineRule="auto"/>
              <w:contextualSpacing/>
              <w:rPr>
                <w:rFonts w:ascii="Calibri" w:eastAsia="Calibri" w:hAnsi="Calibri" w:cs="Times New Roman"/>
                <w:b/>
              </w:rPr>
            </w:pPr>
            <w:r>
              <w:rPr>
                <w:rFonts w:ascii="Calibri" w:eastAsia="Calibri" w:hAnsi="Calibri" w:cs="Times New Roman"/>
                <w:b/>
              </w:rPr>
              <w:t xml:space="preserve">1 FT/9 </w:t>
            </w:r>
            <w:proofErr w:type="spellStart"/>
            <w:r>
              <w:rPr>
                <w:rFonts w:ascii="Calibri" w:eastAsia="Calibri" w:hAnsi="Calibri" w:cs="Times New Roman"/>
                <w:b/>
              </w:rPr>
              <w:t>mo</w:t>
            </w:r>
            <w:proofErr w:type="spellEnd"/>
            <w:r>
              <w:rPr>
                <w:rFonts w:ascii="Calibri" w:eastAsia="Calibri" w:hAnsi="Calibri" w:cs="Times New Roman"/>
                <w:b/>
              </w:rPr>
              <w:t xml:space="preserve">  faculty member</w:t>
            </w:r>
          </w:p>
        </w:tc>
        <w:tc>
          <w:tcPr>
            <w:tcW w:w="1130" w:type="dxa"/>
          </w:tcPr>
          <w:p w:rsidR="00233B22" w:rsidRPr="00233B22" w:rsidRDefault="00233B22" w:rsidP="00233B22">
            <w:pPr>
              <w:spacing w:after="0" w:line="240" w:lineRule="auto"/>
              <w:contextualSpacing/>
              <w:rPr>
                <w:rFonts w:ascii="Calibri" w:eastAsia="Calibri" w:hAnsi="Calibri" w:cs="Times New Roman"/>
                <w:b/>
              </w:rPr>
            </w:pPr>
            <w:r>
              <w:rPr>
                <w:rFonts w:ascii="Calibri" w:eastAsia="Calibri" w:hAnsi="Calibri" w:cs="Times New Roman"/>
                <w:b/>
              </w:rPr>
              <w:t>$</w:t>
            </w:r>
            <w:r w:rsidR="002816CF">
              <w:rPr>
                <w:rFonts w:ascii="Calibri" w:eastAsia="Calibri" w:hAnsi="Calibri" w:cs="Times New Roman"/>
                <w:b/>
              </w:rPr>
              <w:t>60,000.00</w:t>
            </w:r>
          </w:p>
        </w:tc>
        <w:tc>
          <w:tcPr>
            <w:tcW w:w="2887" w:type="dxa"/>
          </w:tcPr>
          <w:p w:rsidR="00233B22" w:rsidRDefault="003866BE" w:rsidP="00233B22">
            <w:pPr>
              <w:spacing w:after="200" w:line="276" w:lineRule="auto"/>
              <w:contextualSpacing/>
              <w:rPr>
                <w:rFonts w:ascii="Calibri" w:eastAsia="Calibri" w:hAnsi="Calibri" w:cs="Times New Roman"/>
              </w:rPr>
            </w:pPr>
            <w:r w:rsidRPr="003866BE">
              <w:rPr>
                <w:rFonts w:ascii="Calibri" w:eastAsia="Calibri" w:hAnsi="Calibri" w:cs="Times New Roman"/>
              </w:rPr>
              <w:t>Help with workload</w:t>
            </w:r>
            <w:r>
              <w:rPr>
                <w:rFonts w:ascii="Calibri" w:eastAsia="Calibri" w:hAnsi="Calibri" w:cs="Times New Roman"/>
              </w:rPr>
              <w:t xml:space="preserve"> of the one current FT faculty.</w:t>
            </w:r>
          </w:p>
          <w:p w:rsidR="00195C30" w:rsidRPr="00233B22" w:rsidRDefault="00195C30" w:rsidP="00233B22">
            <w:pPr>
              <w:spacing w:after="200" w:line="276" w:lineRule="auto"/>
              <w:contextualSpacing/>
              <w:rPr>
                <w:rFonts w:ascii="Calibri" w:eastAsia="Calibri" w:hAnsi="Calibri" w:cs="Times New Roman"/>
              </w:rPr>
            </w:pPr>
            <w:r>
              <w:rPr>
                <w:rFonts w:ascii="Calibri" w:eastAsia="Calibri" w:hAnsi="Calibri" w:cs="Times New Roman"/>
              </w:rPr>
              <w:t>Strong linkage to ADA CODA accreditation standards.</w:t>
            </w:r>
          </w:p>
        </w:tc>
        <w:tc>
          <w:tcPr>
            <w:tcW w:w="3773" w:type="dxa"/>
          </w:tcPr>
          <w:p w:rsidR="00233B22" w:rsidRPr="003866BE" w:rsidRDefault="003866BE" w:rsidP="00233B22">
            <w:pPr>
              <w:spacing w:after="200" w:line="276" w:lineRule="auto"/>
              <w:contextualSpacing/>
              <w:rPr>
                <w:rFonts w:ascii="Calibri" w:eastAsia="Calibri" w:hAnsi="Calibri" w:cs="Times New Roman"/>
              </w:rPr>
            </w:pPr>
            <w:r w:rsidRPr="003866BE">
              <w:rPr>
                <w:rFonts w:ascii="Calibri" w:eastAsia="Calibri" w:hAnsi="Calibri" w:cs="Times New Roman"/>
              </w:rPr>
              <w:t>The second FT faculty will expand student access ther</w:t>
            </w:r>
            <w:r>
              <w:rPr>
                <w:rFonts w:ascii="Calibri" w:eastAsia="Calibri" w:hAnsi="Calibri" w:cs="Times New Roman"/>
              </w:rPr>
              <w:t>eby increasing student success and the quality of learning of each individual student.</w:t>
            </w:r>
          </w:p>
          <w:p w:rsidR="00233B22" w:rsidRPr="00233B22" w:rsidRDefault="00233B22" w:rsidP="00233B22">
            <w:pPr>
              <w:spacing w:after="200" w:line="276" w:lineRule="auto"/>
              <w:contextualSpacing/>
              <w:rPr>
                <w:rFonts w:ascii="Calibri" w:eastAsia="Calibri" w:hAnsi="Calibri" w:cs="Times New Roman"/>
              </w:rPr>
            </w:pPr>
          </w:p>
        </w:tc>
      </w:tr>
    </w:tbl>
    <w:p w:rsidR="005C0CFA" w:rsidRPr="00CA1CF1" w:rsidRDefault="005C0CFA">
      <w:pPr>
        <w:rPr>
          <w:rFonts w:ascii="Times New Roman" w:hAnsi="Times New Roman" w:cs="Times New Roman"/>
          <w:sz w:val="24"/>
          <w:szCs w:val="24"/>
        </w:rPr>
      </w:pPr>
    </w:p>
    <w:sectPr w:rsidR="005C0CFA" w:rsidRPr="00CA1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B2CEB"/>
    <w:multiLevelType w:val="hybridMultilevel"/>
    <w:tmpl w:val="77768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FA"/>
    <w:rsid w:val="000276A1"/>
    <w:rsid w:val="00044B05"/>
    <w:rsid w:val="00053CA0"/>
    <w:rsid w:val="000753CF"/>
    <w:rsid w:val="0011578D"/>
    <w:rsid w:val="00195C30"/>
    <w:rsid w:val="00201D5A"/>
    <w:rsid w:val="00233B22"/>
    <w:rsid w:val="002356AD"/>
    <w:rsid w:val="00241F36"/>
    <w:rsid w:val="002816CF"/>
    <w:rsid w:val="0029425A"/>
    <w:rsid w:val="003866BE"/>
    <w:rsid w:val="003F2973"/>
    <w:rsid w:val="00432409"/>
    <w:rsid w:val="004D2645"/>
    <w:rsid w:val="004D66DA"/>
    <w:rsid w:val="005C0CFA"/>
    <w:rsid w:val="00742BB8"/>
    <w:rsid w:val="00A75E5F"/>
    <w:rsid w:val="00AC4378"/>
    <w:rsid w:val="00AD1F03"/>
    <w:rsid w:val="00B0780D"/>
    <w:rsid w:val="00CA1CF1"/>
    <w:rsid w:val="00EE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D3875-DF7B-4BC4-A44F-FB4C8F31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1CF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C4378"/>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20215">
      <w:bodyDiv w:val="1"/>
      <w:marLeft w:val="0"/>
      <w:marRight w:val="0"/>
      <w:marTop w:val="0"/>
      <w:marBottom w:val="0"/>
      <w:divBdr>
        <w:top w:val="none" w:sz="0" w:space="0" w:color="auto"/>
        <w:left w:val="none" w:sz="0" w:space="0" w:color="auto"/>
        <w:bottom w:val="none" w:sz="0" w:space="0" w:color="auto"/>
        <w:right w:val="none" w:sz="0" w:space="0" w:color="auto"/>
      </w:divBdr>
    </w:div>
    <w:div w:id="165629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Vierra</dc:creator>
  <cp:keywords/>
  <dc:description/>
  <cp:lastModifiedBy>Regina Sagun</cp:lastModifiedBy>
  <cp:revision>2</cp:revision>
  <dcterms:created xsi:type="dcterms:W3CDTF">2018-02-01T21:04:00Z</dcterms:created>
  <dcterms:modified xsi:type="dcterms:W3CDTF">2018-02-01T21:04:00Z</dcterms:modified>
</cp:coreProperties>
</file>